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Intubasi </w:t>
      </w:r>
      <w:r>
        <w:rPr>
          <w:rFonts w:ascii="Times New Roman" w:hAnsi="Times New Roman" w:cs="Times New Roman"/>
          <w:b/>
          <w:bCs/>
          <w:i/>
          <w:iCs/>
          <w:sz w:val="24"/>
          <w:szCs w:val="24"/>
        </w:rPr>
        <w:t>Fiber Optic</w:t>
      </w:r>
      <w:r>
        <w:rPr>
          <w:rFonts w:ascii="Times New Roman" w:hAnsi="Times New Roman" w:cs="Times New Roman"/>
          <w:b/>
          <w:bCs/>
          <w:sz w:val="24"/>
          <w:szCs w:val="24"/>
        </w:rPr>
        <w:t xml:space="preserve"> pada Pasien Anak dengan Syngnathia dan Pseudoankylosis Sendi Temporomandibular : Laporan Kasus</w:t>
      </w:r>
    </w:p>
    <w:p>
      <w:pPr>
        <w:spacing w:line="360" w:lineRule="auto"/>
        <w:jc w:val="center"/>
        <w:rPr>
          <w:rFonts w:hint="default" w:ascii="Times New Roman" w:hAnsi="Times New Roman" w:cs="Times New Roman"/>
          <w:sz w:val="24"/>
          <w:szCs w:val="24"/>
          <w:vertAlign w:val="superscript"/>
          <w:lang w:val="en-US"/>
        </w:rPr>
      </w:pPr>
      <w:r>
        <w:rPr>
          <w:rFonts w:ascii="Times New Roman" w:hAnsi="Times New Roman" w:cs="Times New Roman"/>
          <w:sz w:val="24"/>
          <w:szCs w:val="24"/>
        </w:rPr>
        <w:t>Hafizh Budhiman Mahmud</w:t>
      </w:r>
      <w:r>
        <w:rPr>
          <w:rFonts w:ascii="Times New Roman" w:hAnsi="Times New Roman" w:cs="Times New Roman"/>
          <w:sz w:val="24"/>
          <w:szCs w:val="24"/>
          <w:vertAlign w:val="superscript"/>
        </w:rPr>
        <w:t>1</w:t>
      </w:r>
      <w:r>
        <w:rPr>
          <w:rFonts w:ascii="Times New Roman" w:hAnsi="Times New Roman" w:cs="Times New Roman"/>
          <w:sz w:val="24"/>
          <w:szCs w:val="24"/>
        </w:rPr>
        <w:t xml:space="preserve"> , Gezy Giwangkancana</w:t>
      </w:r>
      <w:r>
        <w:rPr>
          <w:rFonts w:ascii="Times New Roman" w:hAnsi="Times New Roman" w:cs="Times New Roman"/>
          <w:sz w:val="24"/>
          <w:szCs w:val="24"/>
          <w:vertAlign w:val="superscript"/>
        </w:rPr>
        <w:t>2</w:t>
      </w:r>
      <w:r>
        <w:rPr>
          <w:rFonts w:ascii="Times New Roman" w:hAnsi="Times New Roman" w:cs="Times New Roman"/>
          <w:sz w:val="24"/>
          <w:szCs w:val="24"/>
        </w:rPr>
        <w:t xml:space="preserve"> , Ayu Puji Lestari</w:t>
      </w:r>
      <w:r>
        <w:rPr>
          <w:rFonts w:hint="default" w:ascii="Times New Roman" w:hAnsi="Times New Roman" w:cs="Times New Roman"/>
          <w:sz w:val="24"/>
          <w:szCs w:val="24"/>
          <w:vertAlign w:val="superscript"/>
          <w:lang w:val="en-US"/>
        </w:rPr>
        <w:t>2</w:t>
      </w:r>
    </w:p>
    <w:p>
      <w:pPr>
        <w:spacing w:line="360" w:lineRule="auto"/>
        <w:jc w:val="center"/>
        <w:rPr>
          <w:rFonts w:ascii="Times New Roman" w:hAnsi="Times New Roman"/>
          <w:bCs/>
          <w:sz w:val="16"/>
          <w:szCs w:val="16"/>
        </w:rPr>
      </w:pPr>
      <w:r>
        <w:rPr>
          <w:rFonts w:ascii="Times New Roman" w:hAnsi="Times New Roman"/>
          <w:bCs/>
          <w:sz w:val="16"/>
          <w:szCs w:val="16"/>
          <w:vertAlign w:val="superscript"/>
        </w:rPr>
        <w:t>1</w:t>
      </w:r>
      <w:r>
        <w:rPr>
          <w:rFonts w:ascii="Times New Roman" w:hAnsi="Times New Roman"/>
          <w:bCs/>
          <w:sz w:val="16"/>
          <w:szCs w:val="16"/>
        </w:rPr>
        <w:t>Resident of Department Anesthesia and Intensive Therapy Faculty of Medicine Padjadjaran University</w:t>
      </w:r>
      <w:bookmarkStart w:id="0" w:name="_GoBack"/>
      <w:bookmarkEnd w:id="0"/>
    </w:p>
    <w:p>
      <w:pPr>
        <w:spacing w:after="0" w:line="360" w:lineRule="auto"/>
        <w:jc w:val="center"/>
        <w:rPr>
          <w:rFonts w:ascii="Times New Roman" w:hAnsi="Times New Roman"/>
          <w:bCs/>
          <w:sz w:val="16"/>
          <w:szCs w:val="16"/>
        </w:rPr>
      </w:pPr>
      <w:r>
        <w:rPr>
          <w:rFonts w:ascii="Times New Roman" w:hAnsi="Times New Roman"/>
          <w:bCs/>
          <w:sz w:val="16"/>
          <w:szCs w:val="16"/>
          <w:vertAlign w:val="superscript"/>
        </w:rPr>
        <w:t>2</w:t>
      </w:r>
      <w:r>
        <w:rPr>
          <w:rFonts w:ascii="Times New Roman" w:hAnsi="Times New Roman"/>
          <w:bCs/>
          <w:sz w:val="16"/>
          <w:szCs w:val="16"/>
        </w:rPr>
        <w:t>Department Anesthesia and Intensive Therapy Faculty of Medicine Padjadjaran University</w:t>
      </w:r>
    </w:p>
    <w:p>
      <w:pPr>
        <w:spacing w:after="0" w:line="360" w:lineRule="auto"/>
        <w:jc w:val="both"/>
        <w:rPr>
          <w:rFonts w:ascii="Times New Roman" w:hAnsi="Times New Roman"/>
          <w:bCs/>
          <w:sz w:val="16"/>
          <w:szCs w:val="16"/>
        </w:rPr>
      </w:pPr>
    </w:p>
    <w:p>
      <w:pPr>
        <w:spacing w:after="0" w:line="360" w:lineRule="auto"/>
        <w:jc w:val="both"/>
        <w:rPr>
          <w:rFonts w:ascii="Times New Roman" w:hAnsi="Times New Roman"/>
          <w:b/>
          <w:sz w:val="24"/>
          <w:szCs w:val="24"/>
        </w:rPr>
      </w:pPr>
      <w:r>
        <w:rPr>
          <w:rFonts w:ascii="Times New Roman" w:hAnsi="Times New Roman"/>
          <w:b/>
          <w:sz w:val="24"/>
          <w:szCs w:val="24"/>
        </w:rPr>
        <w:t>Abstrak</w:t>
      </w:r>
    </w:p>
    <w:p>
      <w:pPr>
        <w:spacing w:line="360" w:lineRule="auto"/>
        <w:jc w:val="center"/>
        <w:rPr>
          <w:rFonts w:ascii="Times New Roman" w:hAnsi="Times New Roman"/>
          <w:bCs/>
          <w:sz w:val="16"/>
          <w:szCs w:val="16"/>
        </w:rPr>
      </w:pPr>
    </w:p>
    <w:p>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Manajemen jalan napas untuk pasien anak dengan malformasi kraniofasial merupakan tantangan karena intubasi sadar atau pendekatan bedah sulit dilakukan. Laporan kasus ini bertujuan untuk menjelaskan manajemen anestesi untuk pasien anak dengan syngnathia anterior dan pseudoankylosis temporomandibular</w:t>
      </w:r>
      <w:r>
        <w:rPr>
          <w:rFonts w:ascii="Times New Roman" w:hAnsi="Times New Roman" w:cs="Times New Roman"/>
          <w:sz w:val="24"/>
          <w:szCs w:val="24"/>
        </w:rPr>
        <w:t>. Seorang anak perempuan berusia 2 tahun dengan diagnosis syngnathia segmen anterior dan pseudoankylosis temporomandibular dijadwalkan untuk operasi elektif. Intubasi fiber optik dilakukan pada pernapasan spontan (</w:t>
      </w:r>
      <w:r>
        <w:rPr>
          <w:rFonts w:ascii="Times New Roman" w:hAnsi="Times New Roman" w:cs="Times New Roman"/>
          <w:i/>
          <w:iCs/>
          <w:sz w:val="24"/>
          <w:szCs w:val="24"/>
        </w:rPr>
        <w:t>spontaneous breathing</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melalui insuflasi menggunakan perangkat jalan napas nasofaring yang dimodifikasi. Dilakukan teknik “</w:t>
      </w:r>
      <w:r>
        <w:rPr>
          <w:rFonts w:ascii="Times New Roman" w:hAnsi="Times New Roman" w:cs="Times New Roman"/>
          <w:i/>
          <w:iCs/>
          <w:sz w:val="24"/>
          <w:szCs w:val="24"/>
        </w:rPr>
        <w:t>spray-as-you-go</w:t>
      </w:r>
      <w:r>
        <w:rPr>
          <w:rFonts w:ascii="Times New Roman" w:hAnsi="Times New Roman" w:cs="Times New Roman"/>
          <w:sz w:val="24"/>
          <w:szCs w:val="24"/>
        </w:rPr>
        <w:t xml:space="preserve">” dengan lidokain yang diencerkan dan intubasi nasal menggunakan fiber optik dari saluran hidung kontralateral menggunakan tabung endotrakeal </w:t>
      </w:r>
      <w:r>
        <w:rPr>
          <w:rFonts w:ascii="Times New Roman" w:hAnsi="Times New Roman" w:cs="Times New Roman"/>
          <w:i/>
          <w:iCs/>
          <w:sz w:val="24"/>
          <w:szCs w:val="24"/>
        </w:rPr>
        <w:t xml:space="preserve">uncuffed </w:t>
      </w:r>
      <w:r>
        <w:rPr>
          <w:rFonts w:ascii="Times New Roman" w:hAnsi="Times New Roman" w:cs="Times New Roman"/>
          <w:sz w:val="24"/>
          <w:szCs w:val="24"/>
        </w:rPr>
        <w:t>ukuran 4,5. Metode intubasi fiber optik dapat berhasil digunakan pada anak dengan malformasi kraniofasial.</w:t>
      </w:r>
    </w:p>
    <w:p>
      <w:pPr>
        <w:spacing w:line="360" w:lineRule="auto"/>
        <w:ind w:firstLine="720"/>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Kata Kunci:</w:t>
      </w:r>
      <w:r>
        <w:rPr>
          <w:rFonts w:ascii="Times New Roman" w:hAnsi="Times New Roman" w:cs="Times New Roman"/>
          <w:sz w:val="24"/>
          <w:szCs w:val="24"/>
        </w:rPr>
        <w:t xml:space="preserve"> Fiber Optik, intubasi, laporan kasus, pediatrik</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Airway management for pediatric </w:t>
      </w:r>
      <w:r>
        <w:rPr>
          <w:rFonts w:ascii="Times New Roman" w:hAnsi="Times New Roman" w:cs="Times New Roman"/>
          <w:sz w:val="24"/>
          <w:szCs w:val="24"/>
        </w:rPr>
        <w:t>patients with craniofacial malformation is challenging since awake intubation or surgical airway approach is difficult</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zh-CN" w:eastAsia="zh-CN"/>
        </w:rPr>
        <w:t>We aim</w:t>
      </w:r>
      <w:r>
        <w:rPr>
          <w:rFonts w:ascii="Times New Roman" w:hAnsi="Times New Roman" w:cs="Times New Roman"/>
          <w:sz w:val="24"/>
          <w:szCs w:val="24"/>
        </w:rPr>
        <w:t xml:space="preserve"> to describe anesthesia management for pediatric patients with anterior segment syngnathia and temporomandibular pseudoankylosis. A 2-year-old girl diagnosed with anterior segment syngnathia and temporomandibular pseudoankylosis was scheduled for elective surgery. Fiberoptic intubation was performed in spontaneous breathing via insufflation using a modified nasopharyngeal airway device. “Spray-as-you-go” technique with diluted lidocaine was done and nasal intubation using a fiberoptic from the contralateral nasal passage was conducted and a number 4.5 uncuffed endotracheal tubes were used. The fiberoptic intubation method can be successfully used in children with craniofacial malformation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Case report, fiber optic, intubation, pediatric </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6"/>
        <w:numPr>
          <w:ilvl w:val="0"/>
          <w:numId w:val="1"/>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Pendahuluan</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Syngnathia adalah fusi kongenital dari rahang atas dan bawah. Syngnathia merupakan kelainan kongenital langka yang dapat muncul sendiri atau berhubungan dengan kelainan kongenital lain yang mungkin merupakan komponen dari suatu sindrom. Penyatuan kongenital maksila dan mandibula dapat terjadi sebagai penyatuan jaringan lunak, yang disebut sebagai sinekia, atau penyatuan tulang, yang disebut sebagai sinostosis. Penyatuan dapat terjadi di mana saja antara mandibula dan maksila. Penyatuan dapat melibatkan </w:t>
      </w:r>
      <w:r>
        <w:rPr>
          <w:rFonts w:ascii="Times New Roman" w:hAnsi="Times New Roman" w:cs="Times New Roman"/>
          <w:i/>
          <w:iCs/>
          <w:sz w:val="24"/>
          <w:szCs w:val="24"/>
        </w:rPr>
        <w:t>alveolar ridge</w:t>
      </w:r>
      <w:r>
        <w:rPr>
          <w:rFonts w:ascii="Times New Roman" w:hAnsi="Times New Roman" w:cs="Times New Roman"/>
          <w:sz w:val="24"/>
          <w:szCs w:val="24"/>
        </w:rPr>
        <w:t xml:space="preserve"> saja atau melibatkan ramus asendens dan daerah retromaksila dengan/tanpa mempengaruhi sendi temporomandibular.</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{"citationItems":[{"id":"ITEM-1","itemData":{"DOI":"10.1097/SCS.0000000000004841","ISBN":"0000000000","ISSN":"15363732","PMID":"30106810","abstract":"Syngnathia is a congenital fusion of the upper and lower jaws. Its occurrence poses a significant challenge to feeding and its management is challenging to both the surgeon and the anaesthetist. Reports in the literature are mainly clinical reports or case series. To the knowledge of the authors and from the available literature, this is only the fourth report from Nigeria. The presentation and successful management of a Nigerian female neonate with congenital syngnathia is described and reviewed with literature.","author":[{"dropping-particle":"","family":"Olusanya","given":"Adeola A.","non-dropping-particle":"","parse-names":false,"suffix":""},{"dropping-particle":"","family":"Tongo","given":"Olukemi O.","non-dropping-particle":"","parse-names":false,"suffix":""},{"dropping-particle":"","family":"Lawal","given":"Taiwo A.","non-dropping-particle":"","parse-names":false,"suffix":""},{"dropping-particle":"","family":"Aladelusi","given":"Timothy O.","non-dropping-particle":"","parse-names":false,"suffix":""},{"dropping-particle":"","family":"Daniel","given":"Adekunle","non-dropping-particle":"","parse-names":false,"suffix":""},{"dropping-particle":"","family":"Awana","given":"Emily E.","non-dropping-particle":"","parse-names":false,"suffix":""},{"dropping-particle":"","family":"Hamza","given":"Abdulhakeem","non-dropping-particle":"","parse-names":false,"suffix":""}],"container-title":"Journal of Craniofacial Surgery","id":"ITEM-1","issue":"7","issued":{"date-parts":[["2018"]]},"page":"e675-e677","title":"Syngnathia","type":"article-journal","volume":"29"},"uris":["http://www.mendeley.com/documents/?uuid=82695ef8-bb19-49df-b70d-bc21fbb609aa"]}],"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w:t>
      </w:r>
      <w:r>
        <w:rPr>
          <w:rFonts w:ascii="Times New Roman" w:hAnsi="Times New Roman" w:cs="Times New Roman"/>
          <w:sz w:val="24"/>
          <w:szCs w:val="24"/>
        </w:rPr>
        <w:fldChar w:fldCharType="end"/>
      </w:r>
    </w:p>
    <w:p>
      <w:pPr>
        <w:spacing w:line="48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Pasien anak-anak memiliki karakteristik anatomi dan fisiologis yang berbeda dibandingkan dengan populasi dewasa. Menangani pasien anak sudah menjadi tantangan bagi dokter anestesi yang tidak terbiasa, diperumit lagi dengan kesulitan manajemen jalan napas.</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{"citationItems":[{"id":"ITEM-1","itemData":{"DOI":"10.3791/2364","ISSN":"1940087X","PMID":"21304458","abstract":"Fiberoptic intubation in pediatric patients is often required especially in difficult airways of syndromic patients i.e. Pierre Robin Syndrome. Small babies will desaturate very quickly if ventilation is interrupted mainly to high metabolic rate. We describe guidelines to perform a safe fiberoptic intubation while maintaining spontaneous breathing throughout the procedure. Steps requiring the use of propofol pump, fentanyl, glycopyrrolate, red rubber catheter, metal insuflation hook, afrin, lubricant and lidocaine spray are shown. © 2011 Journal of Visualized Experiments.","author":[{"dropping-particle":"","family":"Kaddoum","given":"Roland N","non-dropping-particle":"","parse-names":false,"suffix":""},{"dropping-particle":"","family":"Ahmed","given":"Zulfiqar","non-dropping-particle":"","parse-names":false,"suffix":""},{"dropping-particle":"","family":"D'Augsutine","given":"Alan A.","non-dropping-particle":"","parse-names":false,"suffix":""},{"dropping-particle":"","family":"Zestos","given":"Maria M","non-dropping-particle":"","parse-names":false,"suffix":""}],"container-title":"Journal of Visualized Experiments","id":"ITEM-1","issue":"47","issued":{"date-parts":[["2010"]]},"page":"2-7","title":"Guidelines for elective pediatric fiberoptic intubation","type":"article-journal"},"uris":["http://www.mendeley.com/documents/?uuid=55ba9587-a7ca-427a-9b62-d8be26ba2c3b"]},{"id":"ITEM-2","itemData":{"DOI":"10.1016/j.bjane.2015.02.004","ISSN":"0104-0014","author":[{"dropping-particle":"","family":"Fuentes","given":"Ricardo","non-dropping-particle":"","parse-names":false,"suffix":""},{"dropping-particle":"","family":"Carlos","given":"Juan","non-dropping-particle":"","parse-names":false,"suffix":""},{"dropping-particle":"","family":"Cuadra","given":"De","non-dropping-particle":"","parse-names":false,"suffix":""},{"dropping-particle":"","family":"Lacassie","given":"Hector","non-dropping-particle":"","parse-names":false,"suffix":""},{"dropping-particle":"","family":"González","given":"Alejandro","non-dropping-particle":"","parse-names":false,"suffix":""}],"container-title":"Brazilian Journal of Anesthesiology (English edition)","id":"ITEM-2","issue":"1","issued":{"date-parts":[["2018"]]},"page":"87-90","publisher":"Sociedade Brasileira de Anestesiologia","title":"Difficult fiberoptic tracheal intubation in 1 month-old infant with Treacher Collins Syndrome","type":"article-journal","volume":"68"},"uris":["http://www.mendeley.com/documents/?uuid=ecf2edd9-cae2-45f9-89c3-a6218e189e57"]}],"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vertAlign w:val="superscript"/>
        </w:rPr>
        <w:t>2,3</w:t>
      </w:r>
      <w:r>
        <w:rPr>
          <w:rFonts w:ascii="Times New Roman" w:hAnsi="Times New Roman" w:cs="Times New Roman"/>
          <w:color w:val="000000"/>
          <w:sz w:val="24"/>
          <w:szCs w:val="24"/>
        </w:rPr>
        <w:fldChar w:fldCharType="end"/>
      </w:r>
      <w:r>
        <w:rPr>
          <w:rFonts w:ascii="Times New Roman" w:hAnsi="Times New Roman" w:cs="Times New Roman"/>
          <w:sz w:val="24"/>
          <w:szCs w:val="24"/>
        </w:rPr>
        <w:t xml:space="preserve"> Pasien dengan malformasi kraniofasial sulit untuk dilakukan ventilasi atau intubasi, sementara intubasi sadar dan pendekatan bedah mengharuskan pasien kooperatif, sehingga keduanya sulit dilakukan dan memiliki konsekuensi di masa depan pada populasi anak. Intubasi fiber optik masih menjadi pilihan pada pasien anak, namun harus dilakukan oleh operator dan tim jalan napas yang berpengalaman untuk mengelola jalan napas yang sulit dengan aman pada anak-anak. Penelitian ini bertujuan untuk mendeskripsikan manajemen anestesi pada pasien anak dengan kelainan maksilomandibular menggunakan intubasi fiberoptik.</w:t>
      </w:r>
    </w:p>
    <w:p>
      <w:pPr>
        <w:spacing w:line="480" w:lineRule="auto"/>
        <w:ind w:firstLine="284"/>
        <w:jc w:val="both"/>
        <w:rPr>
          <w:rFonts w:ascii="Times New Roman" w:hAnsi="Times New Roman" w:cs="Times New Roman"/>
          <w:sz w:val="24"/>
          <w:szCs w:val="24"/>
        </w:rPr>
      </w:pPr>
    </w:p>
    <w:p>
      <w:pPr>
        <w:pStyle w:val="6"/>
        <w:numPr>
          <w:ilvl w:val="0"/>
          <w:numId w:val="1"/>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Laporan Kasus</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Seorang anak perempuan berusia 2 tahun dengan berat 12 kilogram dijadwalkan untuk operasi elektif untuk melepaskan kontraktur di mulutnya. Pasien datang dengan riwayat kesulitan membuka mulut sejak lahir, dan hanya bisa membuka mulut kurang dari 1 cm </w:t>
      </w:r>
      <w:r>
        <w:rPr>
          <w:rFonts w:ascii="Times New Roman" w:hAnsi="Times New Roman" w:cs="Times New Roman"/>
          <w:b/>
          <w:bCs/>
          <w:sz w:val="24"/>
          <w:szCs w:val="24"/>
        </w:rPr>
        <w:t>(Gambar 1)</w:t>
      </w:r>
      <w:r>
        <w:rPr>
          <w:rFonts w:ascii="Times New Roman" w:hAnsi="Times New Roman" w:cs="Times New Roman"/>
          <w:sz w:val="24"/>
          <w:szCs w:val="24"/>
        </w:rPr>
        <w:t xml:space="preserve">. Pasien memiliki riwayat operasi sebanyak 2 kali, pada tahun 2020 dan 2021 dengan anestesi umum, untuk memperbaiki kelainan ini, tetapi tumbuh defek tulang dan menghalangi pembukaan mulut yang lebih berat yang kemudian dikoreksi oleh operasi sebelumnya </w:t>
      </w:r>
      <w:r>
        <w:rPr>
          <w:rFonts w:ascii="Times New Roman" w:hAnsi="Times New Roman" w:cs="Times New Roman"/>
          <w:b/>
          <w:bCs/>
          <w:sz w:val="24"/>
          <w:szCs w:val="24"/>
        </w:rPr>
        <w:t>(Gambar 2)</w:t>
      </w:r>
      <w:r>
        <w:rPr>
          <w:rFonts w:ascii="Times New Roman" w:hAnsi="Times New Roman" w:cs="Times New Roman"/>
          <w:sz w:val="24"/>
          <w:szCs w:val="24"/>
        </w:rPr>
        <w:t>.</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Secara klinis anak tampak cemas dan tidak kooperatif tetapi dapat ditenangkan oleh ibunya. Keadaan umum pasien baik dan tanda-tanda vitalnya tidak terlalu mencolok meskipun ibunya mengatakan bahwa kadang-kadang pasien mengalami pilek dan mendengkur pada malam hari. Hasil pemeriksaan laboratorium dan rontgen dada dalam batas normal. Intubasi fiber optik spontan direncanakan dengan induksi inhalasi. Persiapan standar pra operasi terdiri dari mesin anestesi, monitor standar, pemantauan </w:t>
      </w:r>
      <w:r>
        <w:rPr>
          <w:rFonts w:ascii="Times New Roman" w:hAnsi="Times New Roman" w:cs="Times New Roman"/>
          <w:i/>
          <w:iCs/>
          <w:sz w:val="24"/>
          <w:szCs w:val="24"/>
        </w:rPr>
        <w:t>end-tidal</w:t>
      </w:r>
      <w:r>
        <w:rPr>
          <w:rFonts w:ascii="Times New Roman" w:hAnsi="Times New Roman" w:cs="Times New Roman"/>
          <w:sz w:val="24"/>
          <w:szCs w:val="24"/>
        </w:rPr>
        <w:t xml:space="preserve"> karbondioksida (EtCO2) dan obat-obatan darurat disiapkan. Meja peralatan </w:t>
      </w:r>
      <w:r>
        <w:rPr>
          <w:rFonts w:ascii="Times New Roman" w:hAnsi="Times New Roman" w:cs="Times New Roman"/>
          <w:i/>
          <w:iCs/>
          <w:sz w:val="24"/>
          <w:szCs w:val="24"/>
        </w:rPr>
        <w:t xml:space="preserve">difficult airway </w:t>
      </w:r>
      <w:r>
        <w:rPr>
          <w:rFonts w:ascii="Times New Roman" w:hAnsi="Times New Roman" w:cs="Times New Roman"/>
          <w:sz w:val="24"/>
          <w:szCs w:val="24"/>
        </w:rPr>
        <w:t xml:space="preserve">yang terdiri dari 2 </w:t>
      </w:r>
      <w:r>
        <w:rPr>
          <w:rFonts w:ascii="Times New Roman" w:hAnsi="Times New Roman" w:cs="Times New Roman"/>
          <w:i/>
          <w:iCs/>
          <w:sz w:val="24"/>
          <w:szCs w:val="24"/>
        </w:rPr>
        <w:t>suction</w:t>
      </w:r>
      <w:r>
        <w:rPr>
          <w:rFonts w:ascii="Times New Roman" w:hAnsi="Times New Roman" w:cs="Times New Roman"/>
          <w:sz w:val="24"/>
          <w:szCs w:val="24"/>
        </w:rPr>
        <w:t>, diameter serat optik universal 4 mm (Storz, Jerman) dan peralatan krikotirotomi darurat telah disiapkan. Karena tidak ada alat jalan napas nasofaring yang tersedia, pipa endotrakeal (ETT) nomor 4 disiapkan dan dipotong sejauh hidung pasien ke ujung tragusnya.</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Pasien tidak kooperatif sehingga ditemani masuk ke ruang operasi oleh orang tuanya dengan boneka panda dan sirkuit Jackson-Reese yang tersembunyi di dalamnya. Boneka panda kemudian dihubungkan ke mesin anestesi sementara pasien menonton kartun di ruang operasi kami. Pasien perlahan-lahan diinduksi dengan campuran gas N2O dan Sevoflurane yang diberikan perlahan dari 0,6 – 8 vol%.</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Setelah pasien diinduksi, pemantauan standar ditempatkan. Tabung ETT pendek yang telah dibuat sebelumnya ditempatkan di lubang hidung kanan, sementara kasa yang dibasahi dengan campuran lidokain dan adrenalin dosis kecil dimasukkan melalui lubang hidung kiri. Pemberian oksigen, N2O dan gas inhalasi dilanjutkan melalui ETT melalui hidung. Tabung konektor dihubungkan ke ETT untuk menjaga kedalaman anestesi dan pengiriman oksigen </w:t>
      </w:r>
      <w:r>
        <w:rPr>
          <w:rFonts w:ascii="Times New Roman" w:hAnsi="Times New Roman" w:cs="Times New Roman"/>
          <w:b/>
          <w:bCs/>
          <w:sz w:val="24"/>
          <w:szCs w:val="24"/>
        </w:rPr>
        <w:t>(Gambar 3)</w:t>
      </w:r>
      <w:r>
        <w:rPr>
          <w:rFonts w:ascii="Times New Roman" w:hAnsi="Times New Roman" w:cs="Times New Roman"/>
          <w:sz w:val="24"/>
          <w:szCs w:val="24"/>
        </w:rPr>
        <w:t>.</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Intubasi fiberoptik dilakukan melalui lubang hidung kiri, dan teknik </w:t>
      </w:r>
      <w:r>
        <w:rPr>
          <w:rFonts w:ascii="Times New Roman" w:hAnsi="Times New Roman" w:cs="Times New Roman"/>
          <w:i/>
          <w:iCs/>
          <w:sz w:val="24"/>
          <w:szCs w:val="24"/>
        </w:rPr>
        <w:t>spray-as-you-go</w:t>
      </w:r>
      <w:r>
        <w:rPr>
          <w:rFonts w:ascii="Times New Roman" w:hAnsi="Times New Roman" w:cs="Times New Roman"/>
          <w:sz w:val="24"/>
          <w:szCs w:val="24"/>
        </w:rPr>
        <w:t xml:space="preserve"> dilakukan dengan lidokain encer 1%. Fiberoptik dimasukkan ke dalam hidung hingga mencapai laring. Setelah epiglotis dan pita suara divisualisasikan, 2 ml lidokain 1% diberikan dan ETT dimasukkan ke dalam trakea. Selanjutnya, 10 mg propofol dan 20 mcg fentanil diberikan setelah tabung terlihat melewati teropong. Setelah insersi, pasien mengalami desaturasi 80% dan kedalaman tabung diperiksa ulang melalui fiberoptik, dan ETT ditarik keluar dari bronkus batang utama kanan, sambil memposisikannya di atas carina. Sepanjang prosedur, pasien mempertahankan pernapasan spontan.</w:t>
      </w:r>
    </w:p>
    <w:p>
      <w:pPr>
        <w:spacing w:line="240" w:lineRule="auto"/>
        <w:ind w:firstLine="28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419600" cy="1971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rcRect b="52848"/>
                    <a:stretch>
                      <a:fillRect/>
                    </a:stretch>
                  </pic:blipFill>
                  <pic:spPr>
                    <a:xfrm>
                      <a:off x="0" y="0"/>
                      <a:ext cx="4420217" cy="1971950"/>
                    </a:xfrm>
                    <a:prstGeom prst="rect">
                      <a:avLst/>
                    </a:prstGeom>
                    <a:ln>
                      <a:noFill/>
                    </a:ln>
                  </pic:spPr>
                </pic:pic>
              </a:graphicData>
            </a:graphic>
          </wp:inline>
        </w:drawing>
      </w:r>
    </w:p>
    <w:p>
      <w:pPr>
        <w:spacing w:line="240" w:lineRule="auto"/>
        <w:ind w:firstLine="284"/>
        <w:jc w:val="center"/>
        <w:rPr>
          <w:rFonts w:ascii="Times New Roman" w:hAnsi="Times New Roman" w:cs="Times New Roman"/>
          <w:sz w:val="24"/>
          <w:szCs w:val="24"/>
        </w:rPr>
      </w:pPr>
      <w:r>
        <w:rPr>
          <w:rFonts w:ascii="Times New Roman" w:hAnsi="Times New Roman" w:cs="Times New Roman"/>
          <w:b/>
          <w:bCs/>
          <w:sz w:val="24"/>
          <w:szCs w:val="24"/>
        </w:rPr>
        <w:t>Gambar 1</w:t>
      </w:r>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Gambaran klinis pasien menunjukkan bukaan mulut yang kecil, mikrognatia dan defek tulang di rongga mulut. </w:t>
      </w:r>
      <w:r>
        <w:rPr>
          <w:rFonts w:ascii="Times New Roman" w:hAnsi="Times New Roman" w:cs="Times New Roman"/>
          <w:b/>
          <w:sz w:val="24"/>
          <w:szCs w:val="24"/>
        </w:rPr>
        <w:t>b.</w:t>
      </w:r>
      <w:r>
        <w:rPr>
          <w:rFonts w:ascii="Times New Roman" w:hAnsi="Times New Roman" w:cs="Times New Roman"/>
          <w:sz w:val="24"/>
          <w:szCs w:val="24"/>
        </w:rPr>
        <w:t xml:space="preserve"> Rontgen toraks dalam batas normal.</w:t>
      </w:r>
    </w:p>
    <w:p>
      <w:pPr>
        <w:spacing w:line="240" w:lineRule="auto"/>
        <w:ind w:firstLine="284"/>
        <w:jc w:val="center"/>
        <w:rPr>
          <w:rFonts w:ascii="Times New Roman" w:hAnsi="Times New Roman" w:cs="Times New Roman"/>
          <w:sz w:val="24"/>
          <w:szCs w:val="24"/>
        </w:rPr>
      </w:pPr>
    </w:p>
    <w:p>
      <w:pPr>
        <w:spacing w:line="240" w:lineRule="auto"/>
        <w:ind w:firstLine="28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343400" cy="298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4350765" cy="2985726"/>
                    </a:xfrm>
                    <a:prstGeom prst="rect">
                      <a:avLst/>
                    </a:prstGeom>
                  </pic:spPr>
                </pic:pic>
              </a:graphicData>
            </a:graphic>
          </wp:inline>
        </w:drawing>
      </w:r>
    </w:p>
    <w:p>
      <w:pPr>
        <w:spacing w:line="240" w:lineRule="auto"/>
        <w:ind w:firstLine="284"/>
        <w:jc w:val="center"/>
        <w:rPr>
          <w:rFonts w:ascii="Times New Roman" w:hAnsi="Times New Roman" w:cs="Times New Roman"/>
          <w:sz w:val="24"/>
          <w:szCs w:val="24"/>
        </w:rPr>
      </w:pPr>
      <w:r>
        <w:rPr>
          <w:rFonts w:ascii="Times New Roman" w:hAnsi="Times New Roman" w:cs="Times New Roman"/>
          <w:b/>
          <w:bCs/>
          <w:sz w:val="24"/>
          <w:szCs w:val="24"/>
        </w:rPr>
        <w:t>Gambar 2</w:t>
      </w:r>
      <w:r>
        <w:rPr>
          <w:rFonts w:ascii="Times New Roman" w:hAnsi="Times New Roman" w:cs="Times New Roman"/>
          <w:sz w:val="24"/>
          <w:szCs w:val="24"/>
        </w:rPr>
        <w:t xml:space="preserve">. </w:t>
      </w:r>
      <w:r>
        <w:rPr>
          <w:rFonts w:ascii="Times New Roman" w:hAnsi="Times New Roman" w:cs="Times New Roman"/>
          <w:b/>
          <w:sz w:val="24"/>
          <w:szCs w:val="24"/>
        </w:rPr>
        <w:t>a,b.</w:t>
      </w:r>
      <w:r>
        <w:rPr>
          <w:rFonts w:ascii="Times New Roman" w:hAnsi="Times New Roman" w:cs="Times New Roman"/>
          <w:sz w:val="24"/>
          <w:szCs w:val="24"/>
        </w:rPr>
        <w:t xml:space="preserve"> Gambaran klinis pasien sebelum operasi korektif sebelumnya.</w:t>
      </w:r>
    </w:p>
    <w:p>
      <w:pPr>
        <w:rPr>
          <w:rFonts w:ascii="Times New Roman" w:hAnsi="Times New Roman" w:cs="Times New Roman"/>
          <w:sz w:val="24"/>
          <w:szCs w:val="24"/>
        </w:rPr>
      </w:pPr>
      <w:r>
        <w:rPr>
          <w:rFonts w:ascii="Times New Roman" w:hAnsi="Times New Roman" w:cs="Times New Roman"/>
          <w:sz w:val="24"/>
          <w:szCs w:val="24"/>
        </w:rPr>
        <w:br w:type="page"/>
      </w:r>
    </w:p>
    <w:p>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Prosedur berlangsung 3 jam dan hemodinamik intraoperatif stabil dengan denyut jantung 90-110 denyut per menit, dan saturasi oksigen 97-99%. Pasien diekstubasi dalam keadaan sadar penuh dan dipindahkan ke ruang rawat inap untuk pemulihan total.</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252085" cy="466217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52085" cy="4662170"/>
                    </a:xfrm>
                    <a:prstGeom prst="rect">
                      <a:avLst/>
                    </a:prstGeom>
                  </pic:spPr>
                </pic:pic>
              </a:graphicData>
            </a:graphic>
          </wp:inline>
        </w:drawing>
      </w:r>
    </w:p>
    <w:p>
      <w:pPr>
        <w:spacing w:line="240" w:lineRule="auto"/>
        <w:jc w:val="center"/>
        <w:rPr>
          <w:rFonts w:ascii="Times New Roman" w:hAnsi="Times New Roman" w:cs="Times New Roman"/>
          <w:sz w:val="24"/>
          <w:szCs w:val="24"/>
        </w:rPr>
      </w:pPr>
      <w:r>
        <w:rPr>
          <w:rFonts w:ascii="Times New Roman" w:hAnsi="Times New Roman" w:cs="Times New Roman"/>
          <w:b/>
          <w:sz w:val="24"/>
          <w:szCs w:val="24"/>
        </w:rPr>
        <w:t>Gambar 3.</w:t>
      </w:r>
      <w:r>
        <w:rPr>
          <w:rFonts w:ascii="Times New Roman" w:hAnsi="Times New Roman" w:cs="Times New Roman"/>
          <w:sz w:val="24"/>
          <w:szCs w:val="24"/>
        </w:rPr>
        <w:t xml:space="preserve"> (1) Perhatikan boneka panda yang menyembunyikan sirkuit Jackson-Reese; (2) Kehadiran orang tua diperlukan; (3) Inhalasi melalui boneka panda; (4) Dua dokter anestesi hadir; (5) Tabung ETT yang dimodifikasi untuk NPA; (6) Intubasi fiber optik.</w:t>
      </w:r>
    </w:p>
    <w:p>
      <w:pPr>
        <w:rPr>
          <w:rFonts w:ascii="Times New Roman" w:hAnsi="Times New Roman" w:cs="Times New Roman"/>
          <w:sz w:val="24"/>
          <w:szCs w:val="24"/>
        </w:rPr>
      </w:pPr>
      <w:r>
        <w:rPr>
          <w:rFonts w:ascii="Times New Roman" w:hAnsi="Times New Roman" w:cs="Times New Roman"/>
          <w:sz w:val="24"/>
          <w:szCs w:val="24"/>
        </w:rPr>
        <w:br w:type="page"/>
      </w:r>
    </w:p>
    <w:p>
      <w:pPr>
        <w:pStyle w:val="6"/>
        <w:numPr>
          <w:ilvl w:val="0"/>
          <w:numId w:val="1"/>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Pembahasan</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Syngnathia, tulang atau fibrosa, jarang terjadi dan dapat terjadi sebagai kelainan terisolasi atau berhubungan dengan kelainan mulut lainnya (langit-langit sumbing) atau sebagai bagian dari sindrom pterigium poplitea atau sindrom Van der Woude.</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10.4236/ojanes.2013.31010","ISSN":"2164-5531","author":[{"dropping-particle":"","family":"Lonnée","given":"Herman","non-dropping-particle":"","parse-names":false,"suffix":""},{"dropping-particle":"","family":"Rashad","given":"Ahmad","non-dropping-particle":"","parse-names":false,"suffix":""},{"dropping-particle":"","family":"Rahimi","given":"Ghulam Rasoul","non-dropping-particle":"","parse-names":false,"suffix":""},{"dropping-particle":"","family":"Labat","given":"Françoise","non-dropping-particle":"","parse-names":false,"suffix":""}],"container-title":"Open Journal of Anesthesiology","id":"ITEM-1","issue":"01","issued":{"date-parts":[["2013"]]},"page":"35-37","title":"Airway Management of an Infant Presenting with Syngnathia for Surgical Correction","type":"article-journal","volume":"03"},"uris":["http://www.mendeley.com/documents/?uuid=ad2eab20-5a41-43ce-948b-5e4684f544bc"]},{"id":"ITEM-2","itemData":{"DOI":"10.1597/1545-1569(2003)040&lt;0104:SAVDWS&gt;2.0.CO;2","ISSN":"10556656","PMID":"12498614","abstract":"Objective: Syngnathia is a rare anomaly involving soft tissue or bony adhesions between the maxilla and mandible. We review the literature and present a case of syngnathia associated with Van der Woude syndrome. Syngnathia can have very different etiologies, but this has rarely been reported in Van der Woude syndrome. Treatment of this condition is rarely discussed in the literature because of a paucity of case reports. Results: Oral adhesion (syngnathia) in our patient was caused by a mandibular to maxillary fibrous band. Surgical treatment was successful. Clinical implications and review of literature for the treatment of this rare association of syngnathia and Van der Woude syndrome are discussed.","author":[{"dropping-particle":"","family":"Puvabanditsin","given":"Surasak","non-dropping-particle":"","parse-names":false,"suffix":""},{"dropping-particle":"","family":"Garrow","given":"Eugene","non-dropping-particle":"","parse-names":false,"suffix":""},{"dropping-particle":"","family":"Sitburana","given":"Orawan","non-dropping-particle":"","parse-names":false,"suffix":""},{"dropping-particle":"","family":"Avila","given":"Filipe M.","non-dropping-particle":"","parse-names":false,"suffix":""},{"dropping-particle":"","family":"Nabong","given":"Marcelo Y.","non-dropping-particle":"","parse-names":false,"suffix":""},{"dropping-particle":"","family":"Biswas","given":"Anjali","non-dropping-particle":"","parse-names":false,"suffix":""}],"container-title":"Cleft Palate-Craniofacial Journal","id":"ITEM-2","issue":"1","issued":{"date-parts":[["2003"]]},"page":"104-106","title":"Syngnathia and Van der Woude syndrome: A case report and literature review","type":"article-journal","volume":"40"},"uris":["http://www.mendeley.com/documents/?uuid=4f7aba3e-8613-454b-b91e-4b9886ae7443"]},{"id":"ITEM-3","itemData":{"DOI":"10.1097/SCS.0000000000004841","ISBN":"0000000000","ISSN":"15363732","PMID":"30106810","abstract":"Syngnathia is a congenital fusion of the upper and lower jaws. Its occurrence poses a significant challenge to feeding and its management is challenging to both the surgeon and the anaesthetist. Reports in the literature are mainly clinical reports or case series. To the knowledge of the authors and from the available literature, this is only the fourth report from Nigeria. The presentation and successful management of a Nigerian female neonate with congenital syngnathia is described and reviewed with literature.","author":[{"dropping-particle":"","family":"Olusanya","given":"Adeola A.","non-dropping-particle":"","parse-names":false,"suffix":""},{"dropping-particle":"","family":"Tongo","given":"Olukemi O.","non-dropping-particle":"","parse-names":false,"suffix":""},{"dropping-particle":"","family":"Lawal","given":"Taiwo A.","non-dropping-particle":"","parse-names":false,"suffix":""},{"dropping-particle":"","family":"Aladelusi","given":"Timothy O.","non-dropping-particle":"","parse-names":false,"suffix":""},{"dropping-particle":"","family":"Daniel","given":"Adekunle","non-dropping-particle":"","parse-names":false,"suffix":""},{"dropping-particle":"","family":"Awana","given":"Emily E.","non-dropping-particle":"","parse-names":false,"suffix":""},{"dropping-particle":"","family":"Hamza","given":"Abdulhakeem","non-dropping-particle":"","parse-names":false,"suffix":""}],"container-title":"Journal of Craniofacial Surgery","id":"ITEM-3","issue":"7","issued":{"date-parts":[["2018"]]},"page":"e675-e677","title":"Syngnathia","type":"article-journal","volume":"29"},"uris":["http://www.mendeley.com/documents/?uuid=82695ef8-bb19-49df-b70d-bc21fbb609aa"]}],"mendeley":{"formattedCitation":"&lt;sup&gt;1,4,5&lt;/sup&gt;","plainTextFormattedCitation":"1,4,5","previouslyFormattedCitation":"&lt;sup&gt;1,4,5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1,4,5</w:t>
      </w:r>
      <w:r>
        <w:rPr>
          <w:rFonts w:ascii="Times New Roman" w:hAnsi="Times New Roman" w:cs="Times New Roman"/>
          <w:sz w:val="24"/>
          <w:szCs w:val="24"/>
        </w:rPr>
        <w:fldChar w:fldCharType="end"/>
      </w:r>
      <w:r>
        <w:rPr>
          <w:rFonts w:ascii="Times New Roman" w:hAnsi="Times New Roman" w:cs="Times New Roman"/>
          <w:sz w:val="24"/>
          <w:szCs w:val="24"/>
        </w:rPr>
        <w:t xml:space="preserve"> Adhesi mungkin lengkap atau tidak lengkap; unilateral atau bilateral dengan bukaan anterior. Etiologi tidak jelas meskipun beberapa mekanisme telah diusulkan. Pada pasien ini, kelainan ditemukan pada segmen anterior.</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Dalam kasus penyatuan fibrosa yang tidak rumit, operasi yang telah dilaporkan relatif sederhana. Pasien dalam kasus ini telah menjalani operasi koreksi sebanyak dua kali. Operasi sebelumnya berhasil tanpa masalah. Manajemen jalan napas adalah tantangan utama dan berbagai teknik invasif dan non-invasif telah dijelaskan.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10.4236/ojanes.2013.31010","ISSN":"2164-5531","author":[{"dropping-particle":"","family":"Lonnée","given":"Herman","non-dropping-particle":"","parse-names":false,"suffix":""},{"dropping-particle":"","family":"Rashad","given":"Ahmad","non-dropping-particle":"","parse-names":false,"suffix":""},{"dropping-particle":"","family":"Rahimi","given":"Ghulam Rasoul","non-dropping-particle":"","parse-names":false,"suffix":""},{"dropping-particle":"","family":"Labat","given":"Françoise","non-dropping-particle":"","parse-names":false,"suffix":""}],"container-title":"Open Journal of Anesthesiology","id":"ITEM-1","issue":"01","issued":{"date-parts":[["2013"]]},"page":"35-37","title":"Airway Management of an Infant Presenting with Syngnathia for Surgical Correction","type":"article-journal","volume":"03"},"uris":["http://www.mendeley.com/documents/?uuid=ad2eab20-5a41-43ce-948b-5e4684f544bc"]},{"id":"ITEM-2","itemData":{"DOI":"10.11622/smedj.2018081","ISSN":"00375675","PMID":"30009320","abstract":"Since the first use of the flexible fibreoptic bronchoscope, a plethora of new airway equipment has become available. It is essential for clinicians to understand the role and limitations of the available equipment to make appropriate choices. The recent 4th National Audit Project conducted in the United Kingdom found that poor judgement with inappropriate choice of equipment was a contributory factor in airway morbidity and mortality. Given the many modern airway adjuncts that are available, we aimed to define the role of flexible fibreoptic intubation in decision-making and management of anticipated and unanticipated difficult airways. We also reviewed the recent literature regarding the role of flexible fibreoptic intubation in specific patient groups who may present with difficult intubation, and concluded that the flexible fibrescope maintains its important role in difficult airway management.","author":[{"dropping-particle":"","family":"Wong","given":"Jolin","non-dropping-particle":"","parse-names":false,"suffix":""},{"dropping-particle":"","family":"Lee","given":"John Song En","non-dropping-particle":"","parse-names":false,"suffix":""},{"dropping-particle":"","family":"Wong","given":"Theodore Gar Ling","non-dropping-particle":"","parse-names":false,"suffix":""},{"dropping-particle":"","family":"Iqbal","given":"Rehana","non-dropping-particle":"","parse-names":false,"suffix":""},{"dropping-particle":"","family":"Wong","given":"Patrick","non-dropping-particle":"","parse-names":false,"suffix":""}],"container-title":"Singapore Medical Journal","id":"ITEM-2","issue":"3","issued":{"date-parts":[["2019"]]},"page":"110-118","title":"Fibreoptic intubation in airway management: A review article","type":"article-journal","volume":"60"},"uris":["http://www.mendeley.com/documents/?uuid=496f760c-09a4-4684-815c-a8cf43dad5dd"]}],"mendeley":{"formattedCitation":"&lt;sup&gt;4,6&lt;/sup&gt;","plainTextFormattedCitation":"4,6","previouslyFormattedCitation":"&lt;sup&gt;4,6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Intubasi fiberoptik pada pasien anak dengan kesulitan jalan napas dapat menjadi tantangan, termasuk mereka yang memiliki dismorfisme kraniofasial. Prosedur ini lebih sulit dilakukan pada pasien anak dibandingkan pada dewasa terutama karena saluran pernafasan yang lebih kecil pada pasien anak yang membuat manipulasi fiber optik lebih sulit.</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{"citationItems":[{"id":"ITEM-1","itemData":{"DOI":"10.1136/bcr-2013-202974","ISSN":"1757790X","abstract":"Uterine torsion is rare in pregnancy and the cause in most cases is unknown. It is associated with fetal compromise, with perinatal mortality reported to be around 12%. Our case describes an acute torsion, presenting in pregnancy with severe abdominal pain and vomiting with a viable 32-week gestation. Emergency caesarean section was performed and the 180° uterine torsion was diagnosed intraoperatively. Posterior hysterotomy was required for delivery prior to detorsion of the uterus. This report describes that prompt recognition and intraoperative vigilance can achieve a successful maternal and fetal outcome in this rare and difficult obstetric scenario. Copyright 2014 BMJ Publishing Group. All rights reserved.","author":[{"dropping-particle":"","family":"Saxena","given":"Kirti Nath","non-dropping-particle":"","parse-names":false,"suffix":""},{"dropping-particle":"","family":"Goel","given":"Vipin","non-dropping-particle":"","parse-names":false,"suffix":""},{"dropping-particle":"","family":"Gaba","given":"Bharti Taneja Prachi","non-dropping-particle":"","parse-names":false,"suffix":""}],"container-title":"J Anaesthesiol Clin Pharmacol","id":"ITEM-1","issue":"1","issued":{"date-parts":[["2016"]]},"page":"128-130","title":"Fiber Optic Intubation of a Neonate with Syngnathia Under Local Anesthesia and Sedation","type":"article-journal","volume":"32"},"uris":["http://www.mendeley.com/documents/?uuid=69c2540f-b390-40cc-ab5a-693db94ed783"]},{"id":"ITEM-2","itemData":{"DOI":"10.3791/2364","ISSN":"1940087X","PMID":"21304458","abstract":"Fiberoptic intubation in pediatric patients is often required especially in difficult airways of syndromic patients i.e. Pierre Robin Syndrome. Small babies will desaturate very quickly if ventilation is interrupted mainly to high metabolic rate. We describe guidelines to perform a safe fiberoptic intubation while maintaining spontaneous breathing throughout the procedure. Steps requiring the use of propofol pump, fentanyl, glycopyrrolate, red rubber catheter, metal insuflation hook, afrin, lubricant and lidocaine spray are shown. © 2011 Journal of Visualized Experiments.","author":[{"dropping-particle":"","family":"Kaddoum","given":"Roland N","non-dropping-particle":"","parse-names":false,"suffix":""},{"dropping-particle":"","family":"Ahmed","given":"Zulfiqar","non-dropping-particle":"","parse-names":false,"suffix":""},{"dropping-particle":"","family":"D'Augsutine","given":"Alan A.","non-dropping-particle":"","parse-names":false,"suffix":""},{"dropping-particle":"","family":"Zestos","given":"Maria M","non-dropping-particle":"","parse-names":false,"suffix":""}],"container-title":"Journal of Visualized Experiments","id":"ITEM-2","issue":"47","issued":{"date-parts":[["2010"]]},"page":"2-7","title":"Guidelines for elective pediatric fiberoptic intubation","type":"article-journal"},"uris":["http://www.mendeley.com/documents/?uuid=55ba9587-a7ca-427a-9b62-d8be26ba2c3b"]}],"mendeley":{"formattedCitation":"&lt;sup&gt;2,7&lt;/sup&gt;","plainTextFormattedCitation":"2,7","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Pada kasus ini, kami melakukan teknik intubasi dengan anestesi lokal yang mirip dengan teknik yang dijelaskan oleh Saxena dkk. dan Svee dkk.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{"citationItems":[{"id":"ITEM-1","itemData":{"DOI":"10.1136/bcr-2013-202974","ISSN":"1757790X","abstract":"Uterine torsion is rare in pregnancy and the cause in most cases is unknown. It is associated with fetal compromise, with perinatal mortality reported to be around 12%. Our case describes an acute torsion, presenting in pregnancy with severe abdominal pain and vomiting with a viable 32-week gestation. Emergency caesarean section was performed and the 180° uterine torsion was diagnosed intraoperatively. Posterior hysterotomy was required for delivery prior to detorsion of the uterus. This report describes that prompt recognition and intraoperative vigilance can achieve a successful maternal and fetal outcome in this rare and difficult obstetric scenario. Copyright 2014 BMJ Publishing Group. All rights reserved.","author":[{"dropping-particle":"","family":"Saxena","given":"Kirti Nath","non-dropping-particle":"","parse-names":false,"suffix":""},{"dropping-particle":"","family":"Goel","given":"Vipin","non-dropping-particle":"","parse-names":false,"suffix":""},{"dropping-particle":"","family":"Gaba","given":"Bharti Taneja Prachi","non-dropping-particle":"","parse-names":false,"suffix":""}],"container-title":"J Anaesthesiol Clin Pharmacol","id":"ITEM-1","issue":"1","issued":{"date-parts":[["2016"]]},"page":"128-130","title":"Fiber Optic Intubation of a Neonate with Syngnathia Under Local Anesthesia and Sedation","type":"article-journal","volume":"32"},"uris":["http://www.mendeley.com/documents/?uuid=69c2540f-b390-40cc-ab5a-693db94ed783"]},{"id":"ITEM-2","itemData":{"DOI":"10.1097/SCS.0b013e318252f314","author":[{"dropping-particle":"","family":"Svee","given":"Andreas","non-dropping-particle":"","parse-names":false,"suffix":""},{"dropping-particle":"","family":"Frykholm","given":"Peter","non-dropping-particle":"","parse-names":false,"suffix":""},{"dropping-particle":"","family":"Linder","given":"Arne","non-dropping-particle":"","parse-names":false,"suffix":""},{"dropping-particle":"","family":"Hakelius","given":"Malin","non-dropping-particle":"","parse-names":false,"suffix":""},{"dropping-particle":"","family":"Skoog","given":"Valdemar","non-dropping-particle":"","parse-names":false,"suffix":""},{"dropping-particle":"","family":"Nowinski","given":"Daniel","non-dropping-particle":"","parse-names":false,"suffix":""}],"container-title":"The Journal of Craniofacial Surgery","id":"ITEM-2","issue":"4","issued":{"date-parts":[["2012"]]},"page":"299-302","title":"Early Release of Interalveolar Synechiae Under General Anesthesia Through Fiberscopic","type":"article-journal","volume":"23"},"uris":["http://www.mendeley.com/documents/?uuid=23667d7b-40c3-4b3c-b4e5-721b953df219"]}],"mendeley":{"formattedCitation":"&lt;sup&gt;7,8&lt;/sup&gt;","plainTextFormattedCitation":"7,8","previouslyFormattedCitation":"&lt;sup&gt;7,8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7,8</w:t>
      </w:r>
      <w:r>
        <w:rPr>
          <w:rFonts w:ascii="Times New Roman" w:hAnsi="Times New Roman" w:cs="Times New Roman"/>
          <w:sz w:val="24"/>
          <w:szCs w:val="24"/>
        </w:rPr>
        <w:fldChar w:fldCharType="end"/>
      </w:r>
      <w:r>
        <w:rPr>
          <w:rFonts w:ascii="Times New Roman" w:hAnsi="Times New Roman" w:cs="Times New Roman"/>
          <w:sz w:val="24"/>
          <w:szCs w:val="24"/>
        </w:rPr>
        <w:t xml:space="preserve"> di mana kami memberikan anestesi lokal melalui ETT. </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Anak-anak memiliki tingkat konsumsi oksigen yang lebih tinggi, secara signifikan memperpendek periode apnea yang dapat ditoleransi dengan aman. Ahli anestesi harus memulai ventilasi dan menghindari desaturasi berat pada pasien. Dalam kasus ini, kami melakukan oksigenasi menggunakan ETT pada lubang hidung kolateral, serupa dengan yang dilakukan oleh Svee, dkk.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10.1097/SCS.0b013e318252f314","author":[{"dropping-particle":"","family":"Svee","given":"Andreas","non-dropping-particle":"","parse-names":false,"suffix":""},{"dropping-particle":"","family":"Frykholm","given":"Peter","non-dropping-particle":"","parse-names":false,"suffix":""},{"dropping-particle":"","family":"Linder","given":"Arne","non-dropping-particle":"","parse-names":false,"suffix":""},{"dropping-particle":"","family":"Hakelius","given":"Malin","non-dropping-particle":"","parse-names":false,"suffix":""},{"dropping-particle":"","family":"Skoog","given":"Valdemar","non-dropping-particle":"","parse-names":false,"suffix":""},{"dropping-particle":"","family":"Nowinski","given":"Daniel","non-dropping-particle":"","parse-names":false,"suffix":""}],"container-title":"The Journal of Craniofacial Surgery","id":"ITEM-1","issue":"4","issued":{"date-parts":[["2012"]]},"page":"299-302","title":"Early Release of Interalveolar Synechiae Under General Anesthesia Through Fiberscopic","type":"article-journal","volume":"23"},"uris":["http://www.mendeley.com/documents/?uuid=23667d7b-40c3-4b3c-b4e5-721b953df219"]}],"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Teknik serupa dijelaskan oleh Lonnee, dkk.</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10.4236/ojanes.2013.31010","ISSN":"2164-5531","author":[{"dropping-particle":"","family":"Lonnée","given":"Herman","non-dropping-particle":"","parse-names":false,"suffix":""},{"dropping-particle":"","family":"Rashad","given":"Ahmad","non-dropping-particle":"","parse-names":false,"suffix":""},{"dropping-particle":"","family":"Rahimi","given":"Ghulam Rasoul","non-dropping-particle":"","parse-names":false,"suffix":""},{"dropping-particle":"","family":"Labat","given":"Françoise","non-dropping-particle":"","parse-names":false,"suffix":""}],"container-title":"Open Journal of Anesthesiology","id":"ITEM-1","issue":"01","issued":{"date-parts":[["2013"]]},"page":"35-37","title":"Airway Management of an Infant Presenting with Syngnathia for Surgical Correction","type":"article-journal","volume":"03"},"uris":["http://www.mendeley.com/documents/?uuid=ad2eab20-5a41-43ce-948b-5e4684f544bc"]}],"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xml:space="preserve"> menggunakan </w:t>
      </w:r>
      <w:r>
        <w:rPr>
          <w:rFonts w:ascii="Times New Roman" w:hAnsi="Times New Roman" w:cs="Times New Roman"/>
          <w:i/>
          <w:iCs/>
          <w:sz w:val="24"/>
          <w:szCs w:val="24"/>
        </w:rPr>
        <w:t>continuous positive airway pressure</w:t>
      </w:r>
      <w:r>
        <w:rPr>
          <w:rFonts w:ascii="Times New Roman" w:hAnsi="Times New Roman" w:cs="Times New Roman"/>
          <w:sz w:val="24"/>
          <w:szCs w:val="24"/>
        </w:rPr>
        <w:t xml:space="preserve"> (CPAP). Oksigenasi dianggap adekuat sebelum dan intraoperatif. Desaturasi memang terjadi tetapi segera diantisipasi dengan reposisi ETT. Metode lain untuk oksigenasi adalah oksigenasi hidung aliran tinggi yang menawarkan stabilitas pengiriman oksigen, dan jalan napas nasofaring..</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{"citationItems":[{"id":"ITEM-1","itemData":{"DOI":"10.4097/kja.19174","ISBN":"0000000319638","ISSN":"20057563","PMID":"31163107","abstract":"High-flow nasal oxygenation (HFNO) is a promising new technique for anesthesiologists. The use of HFNO during the induction of anesthesia and during upper airway surgeries has been initiated, and its applications have been rapidly growing ever since. The advantages of this technique include its easy set-up, high tolerability, and its abilities to produce positive airway pressure and a high fraction of inspired oxygen and to influence the clearance of carbon dioxide to some extent. HFNO, via a nasal cannula, can provide oxygen both to patients who can breathe spontaneously and to those who are apneic; further, this technique does not interfere with bag-mask ventilation, attempts at laryngoscopy for tracheal intubation, and surgical procedures conducted in the airway. In this review, we describe the techniques associated with HFNO and the advantages and disadvantages of HFNO based on the current state of knowledge.","author":[{"dropping-particle":"","family":"Kim","given":"Hyun Joo","non-dropping-particle":"","parse-names":false,"suffix":""},{"dropping-particle":"","family":"Asai","given":"Takashi","non-dropping-particle":"","parse-names":false,"suffix":""}],"container-title":"Korean Journal of Anesthesiology","id":"ITEM-1","issue":"6","issued":{"date-parts":[["2019"]]},"page":"527-547","title":"High-flow nasal oxygenation for anesthetic management","type":"article-journal","volume":"72"},"uris":["http://www.mendeley.com/documents/?uuid=ef777962-3b2e-4b76-82cd-75d72aa929bb"]},{"id":"ITEM-2","itemData":{"DOI":"10.1016/j.ijporl.2020.110042","ISSN":"18728464","PMID":"32302883","abstract":"Objectives: In pediatric airway surgery, SponTaneous Respiration using IntraVEnous anesthesia and Hi-flow nasal oxygen (STRIVE Hi) has not been well explored. Here, we report our experience of using STRIVE Hi in endoscopic evaluations and surgeries of the pediatric airway. Methods: This retrospective review was based on 45 airway procedures conducted under STRIVE Hi, performed by a single surgeon at a single institute from May 2017 to September 2018. After induction of anesthesia, continuous infusion with propofol and remifentanil was provided to ensure an adequate level of anesthesia and supply of humidified oxygen via a nasal cannula. Monitoring was conducted using a transcutaneous CO2 sensor and a pulse oximeter, and the oxygen reserve and bispectral indexes were measured. No muscle relaxant was administered. Results: The median age of the patients was 16.0 months (range: 1–215 months) and the median weight was 10.2 kg (range: 2.4–38.5 kg). The median duration of spontaneous respiration was min 40 (range: 10–140 min). The airway procedures included diagnostic microlaryngoscopy, tracheocutaneous fistula excision, balloon dilation, supraglottoplasty, laryngeal cleft repair, injection laryngoplasty, papilloma excision, and subglottic cyst removal. During these procedures, STRIVE Hi facilitated evaluation of dynamic obstruction of the airway and the immediate outcome of surgical treatment and provided a good surgical view. Intubation and the termination of spontaneous respiration were required in only five patients. Conclusions: STRIVE Hi is an effective and feasible anesthesia option in pediatric airway surgery. It provides unobstructed surgical access and is applicable to a wide range of procedures.","author":[{"dropping-particle":"","family":"Ji","given":"Jeong Yeon","non-dropping-particle":"","parse-names":false,"suffix":""},{"dropping-particle":"","family":"Kim","given":"Eun Hee","non-dropping-particle":"","parse-names":false,"suffix":""},{"dropping-particle":"","family":"Lee","given":"Ji Hyun","non-dropping-particle":"","parse-names":false,"suffix":""},{"dropping-particle":"","family":"Jang","given":"Young Eun","non-dropping-particle":"","parse-names":false,"suffix":""},{"dropping-particle":"","family":"Kim","given":"Hee Soo","non-dropping-particle":"","parse-names":false,"suffix":""},{"dropping-particle":"","family":"Kwon","given":"Seong Keun","non-dropping-particle":"","parse-names":false,"suffix":""}],"container-title":"International Journal of Pediatric Otorhinolaryngology","id":"ITEM-2","issue":"July","issued":{"date-parts":[["2020"]]},"page":"1-8","title":"Pediatric airway surgery under spontaneous respiration using high-flow nasal oxygen","type":"article-journal","volume":"134"},"uris":["http://www.mendeley.com/documents/?uuid=ae37b1b2-ddab-4135-8409-a74a35a442e6"]}],"mendeley":{"formattedCitation":"&lt;sup&gt;9,10&lt;/sup&gt;","plainTextFormattedCitation":"9,10","previouslyFormattedCitation":"&lt;sup&gt;9,10&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9,10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Dalam kasus ini, 10 mg propofol dan 20 mcg fentanil diberikan untuk induksi anestesi. Pasien anak secara historis dianggap berisiko lebih tinggi mengalami depresi nafas, terutama dari analgesik opioid. Namun, bukti terbaru menunjukkan bahwa bayi dan anak kecil di luar periode neonatal lebih resisten terhadap efek propofol, bahkan ketika dikombinasikan dengan opioid seperti fentanil.</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{"citationItems":[{"id":"ITEM-1","itemData":{"DOI":"10.1097/ACO.0b013e328329730c","ISSN":"09527907","PMID":"19434785","abstract":"Spontaneous respiration can be maintained when anesthetizing children using intravenous anesthesia.","author":[{"dropping-particle":"","family":"Ansermino","given":"John Mark","non-dropping-particle":"","parse-names":false,"suffix":""},{"dropping-particle":"","family":"Magruder","given":"William","non-dropping-particle":"","parse-names":false,"suffix":""},{"dropping-particle":"","family":"Dosani","given":"Maryam","non-dropping-particle":"","parse-names":false,"suffix":""}],"container-title":"Current Opinion in Anaesthesiology","id":"ITEM-1","issue":"3","issued":{"date-parts":[["2009"]]},"page":"383-387","title":"Spontaneous respiration during intravenous anesthesia in children","type":"article-journal","volume":"22"},"uris":["http://www.mendeley.com/documents/?uuid=9fdeeeda-c236-4297-b725-818a1426d18d"]},{"id":"ITEM-2","itemData":{"DOI":"10.1111/j.1460-9592.2010.03290.x","ISSN":"11555645","PMID":"20337953","abstract":"Introduction: Inhalational anesthesia with spontaneous respiration is traditionally used to facilitate airway endoscopy in children. The potential difficulties in maintaining adequate depth of anesthesia using inhalational anesthesia and the anesthetic pollution of the surgical environment are significant disadvantages of this technique. We report our institutional experience using total intravenous anesthesia (TIVA) and spontaneous respiration. Methods: We prospectively studied 41 pediatric patients undergoing 52 airway endoscopies and airway surgeries. Following induction of anesthesia, a propofol infusion was titrated to a clinically adequate level of anesthesia, guided by the Bispectral Index (BIS), and a remifentanil infusion was titrated to respiratory rate. ECG, BP, pulse oximetry, BIS level, transcutaneous CO 2 (TcCO2), respiratory rate, and drug infusion rates were recorded. Adverse events and the response to these events were also recorded. Results: Forty-one children underwent 52 airway procedures; 17 rigid bronchoscopies and 35 microlaryngobronchoscopies, including 18 LASER treatments, were performed. The mean (sd) age was 6.9 (5.8) years and weight 26.9 (21.2) kg. The mean induction time was 13 (6) min, and anesthesia duration was 49 (30) min. The mean highest TcCO2 recorded during the procedures was 62.8 ± 15.3 mmHg. Coughing occurred in 14 (27%) patients, requiring additional topical anesthesia (3), a bolus of propofol (4) or remifentanil (1), or removal of the bronchoscope (1). Desaturation below 90% occurred in 10 (19%) cases; only three required intervention in the form of temporary assisted ventilation (2) or inhaled bronchodilators (1). No laryngospasm, stridor, or arrhythmias were observed. Conclusion: TIVA and spontaneous respiration is an effective technique to manage anesthesia for airway endoscopy and surgery in children. © 2010 Blackwell Publishing Ltd.","author":[{"dropping-particle":"","family":"Malherbe","given":"Stephan","non-dropping-particle":"","parse-names":false,"suffix":""},{"dropping-particle":"","family":"Whyte","given":"Simon","non-dropping-particle":"","parse-names":false,"suffix":""},{"dropping-particle":"","family":"Singh","given":"Permendra","non-dropping-particle":"","parse-names":false,"suffix":""},{"dropping-particle":"","family":"Amari","given":"Erica","non-dropping-particle":"","parse-names":false,"suffix":""},{"dropping-particle":"","family":"King","given":"Ashlee","non-dropping-particle":"","parse-names":false,"suffix":""},{"dropping-particle":"","family":"Mark Ansermino","given":"J.","non-dropping-particle":"","parse-names":false,"suffix":""}],"container-title":"Paediatric Anaesthesia","id":"ITEM-2","issue":"5","issued":{"date-parts":[["2010"]]},"page":"434-438","title":"Total intravenous anesthesia and spontaneous respiration for airway endoscopy in children - A prospective evaluation","type":"article-journal","volume":"20"},"uris":["http://www.mendeley.com/documents/?uuid=12332836-67f4-462c-aba9-3801cf45e75d"]}],"mendeley":{"formattedCitation":"&lt;sup&gt;11,12&lt;/sup&gt;","plainTextFormattedCitation":"11,12","previouslyFormattedCitation":"&lt;sup&gt;11,12&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11,12</w:t>
      </w:r>
      <w:r>
        <w:rPr>
          <w:rFonts w:ascii="Times New Roman" w:hAnsi="Times New Roman" w:cs="Times New Roman"/>
          <w:sz w:val="24"/>
          <w:szCs w:val="24"/>
        </w:rPr>
        <w:fldChar w:fldCharType="end"/>
      </w:r>
      <w:r>
        <w:rPr>
          <w:rFonts w:ascii="Times New Roman" w:hAnsi="Times New Roman" w:cs="Times New Roman"/>
          <w:sz w:val="24"/>
          <w:szCs w:val="24"/>
        </w:rPr>
        <w:t xml:space="preserve"> Pernapasan spontan dapat dipertahankan pada dosis yang adekuat untuk menekan respon somatik terhadap prosedur nyeri.</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{"citationItems":[{"id":"ITEM-1","itemData":{"DOI":"10.1097/ACO.0b013e328329730c","ISSN":"09527907","PMID":"19434785","abstract":"Spontaneous respiration can be maintained when anesthetizing children using intravenous anesthesia.","author":[{"dropping-particle":"","family":"Ansermino","given":"John Mark","non-dropping-particle":"","parse-names":false,"suffix":""},{"dropping-particle":"","family":"Magruder","given":"William","non-dropping-particle":"","parse-names":false,"suffix":""},{"dropping-particle":"","family":"Dosani","given":"Maryam","non-dropping-particle":"","parse-names":false,"suffix":""}],"container-title":"Current Opinion in Anaesthesiology","id":"ITEM-1","issue":"3","issued":{"date-parts":[["2009"]]},"page":"383-387","title":"Spontaneous respiration during intravenous anesthesia in children","type":"article-journal","volume":"22"},"uris":["http://www.mendeley.com/documents/?uuid=9fdeeeda-c236-4297-b725-818a1426d18d"]}],"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pPr>
        <w:spacing w:line="480" w:lineRule="auto"/>
        <w:jc w:val="both"/>
        <w:rPr>
          <w:rFonts w:ascii="Times New Roman" w:hAnsi="Times New Roman" w:cs="Times New Roman"/>
          <w:sz w:val="24"/>
          <w:szCs w:val="24"/>
        </w:rPr>
      </w:pPr>
    </w:p>
    <w:p>
      <w:pPr>
        <w:pStyle w:val="6"/>
        <w:numPr>
          <w:ilvl w:val="0"/>
          <w:numId w:val="1"/>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Kesimpulan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Penatalaksanaan jalan napas anak yang sulit melalui bronkoskop serat optik hidung melibatkan rumatan sedasi yang dalam, pernapasan spontan, dan tim ahli anestesi.</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Referensi</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sz w:val="24"/>
          <w:szCs w:val="24"/>
        </w:rPr>
        <w:t xml:space="preserve">Olusanya AA, Tongo OO, Lawal TA, et al. Syngnathia. </w:t>
      </w:r>
      <w:r>
        <w:rPr>
          <w:rFonts w:ascii="Times New Roman" w:hAnsi="Times New Roman" w:cs="Times New Roman"/>
          <w:i/>
          <w:iCs/>
          <w:sz w:val="24"/>
          <w:szCs w:val="24"/>
        </w:rPr>
        <w:t>J Craniofac Surg</w:t>
      </w:r>
      <w:r>
        <w:rPr>
          <w:rFonts w:ascii="Times New Roman" w:hAnsi="Times New Roman" w:cs="Times New Roman"/>
          <w:sz w:val="24"/>
          <w:szCs w:val="24"/>
        </w:rPr>
        <w:t>. 2018;29(7):e675-e677. doi:10.1097/SCS.0000000000004841</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 xml:space="preserve">Kaddoum RN, Ahmed Z, D’Augsutine AA, Zestos MM. Guidelines for elective pediatric fiberoptic intubation. </w:t>
      </w:r>
      <w:r>
        <w:rPr>
          <w:rFonts w:ascii="Times New Roman" w:hAnsi="Times New Roman" w:cs="Times New Roman"/>
          <w:i/>
          <w:iCs/>
          <w:sz w:val="24"/>
          <w:szCs w:val="24"/>
        </w:rPr>
        <w:t>J Vis Exp</w:t>
      </w:r>
      <w:r>
        <w:rPr>
          <w:rFonts w:ascii="Times New Roman" w:hAnsi="Times New Roman" w:cs="Times New Roman"/>
          <w:sz w:val="24"/>
          <w:szCs w:val="24"/>
        </w:rPr>
        <w:t>. 2010;(47):2-7. doi:10.3791/2364</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Pr>
          <w:rFonts w:ascii="Times New Roman" w:hAnsi="Times New Roman" w:cs="Times New Roman"/>
          <w:sz w:val="24"/>
          <w:szCs w:val="24"/>
        </w:rPr>
        <w:t xml:space="preserve">Fuentes R, Carlos J, Cuadra D, Lacassie H, González A. Difficult fiberoptic tracheal intubation in 1 month-old infant with Treacher Collins Syndrome. </w:t>
      </w:r>
      <w:r>
        <w:rPr>
          <w:rFonts w:ascii="Times New Roman" w:hAnsi="Times New Roman" w:cs="Times New Roman"/>
          <w:i/>
          <w:iCs/>
          <w:sz w:val="24"/>
          <w:szCs w:val="24"/>
        </w:rPr>
        <w:t>Brazilian J Anesthesiol (English Ed</w:t>
      </w:r>
      <w:r>
        <w:rPr>
          <w:rFonts w:ascii="Times New Roman" w:hAnsi="Times New Roman" w:cs="Times New Roman"/>
          <w:sz w:val="24"/>
          <w:szCs w:val="24"/>
        </w:rPr>
        <w:t>. 2018;68(1):87-90. doi:10.1016/j.bjane.2015.02.004</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Pr>
          <w:rFonts w:ascii="Times New Roman" w:hAnsi="Times New Roman" w:cs="Times New Roman"/>
          <w:sz w:val="24"/>
          <w:szCs w:val="24"/>
        </w:rPr>
        <w:t xml:space="preserve">Lonnée H, Rashad A, Rahimi GR, Labat F. Airway Management of an Infant Presenting with Syngnathia for Surgical Correction. </w:t>
      </w:r>
      <w:r>
        <w:rPr>
          <w:rFonts w:ascii="Times New Roman" w:hAnsi="Times New Roman" w:cs="Times New Roman"/>
          <w:i/>
          <w:iCs/>
          <w:sz w:val="24"/>
          <w:szCs w:val="24"/>
        </w:rPr>
        <w:t>Open J Anesthesiol</w:t>
      </w:r>
      <w:r>
        <w:rPr>
          <w:rFonts w:ascii="Times New Roman" w:hAnsi="Times New Roman" w:cs="Times New Roman"/>
          <w:sz w:val="24"/>
          <w:szCs w:val="24"/>
        </w:rPr>
        <w:t>. 2013;03(01):35-37. doi:10.4236/ojanes.2013.31010</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Pr>
          <w:rFonts w:ascii="Times New Roman" w:hAnsi="Times New Roman" w:cs="Times New Roman"/>
          <w:sz w:val="24"/>
          <w:szCs w:val="24"/>
        </w:rPr>
        <w:t xml:space="preserve">Puvabanditsin S, Garrow E, Sitburana O, Avila FM, Nabong MY, Biswas A. Syngnathia and Van der Woude syndrome: A case report and literature review. </w:t>
      </w:r>
      <w:r>
        <w:rPr>
          <w:rFonts w:ascii="Times New Roman" w:hAnsi="Times New Roman" w:cs="Times New Roman"/>
          <w:i/>
          <w:iCs/>
          <w:sz w:val="24"/>
          <w:szCs w:val="24"/>
        </w:rPr>
        <w:t>Cleft Palate-Craniofacial J</w:t>
      </w:r>
      <w:r>
        <w:rPr>
          <w:rFonts w:ascii="Times New Roman" w:hAnsi="Times New Roman" w:cs="Times New Roman"/>
          <w:sz w:val="24"/>
          <w:szCs w:val="24"/>
        </w:rPr>
        <w:t>. 2003;40(1):104-106. doi:10.1597/1545-1569(2003)040&lt;0104:SAVDWS&gt;2.0.CO;2</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Pr>
          <w:rFonts w:ascii="Times New Roman" w:hAnsi="Times New Roman" w:cs="Times New Roman"/>
          <w:sz w:val="24"/>
          <w:szCs w:val="24"/>
        </w:rPr>
        <w:t xml:space="preserve">Wong J, Lee JSE, Wong TGL, Iqbal R, Wong P. Fibreoptic intubation in airway management: A review article. </w:t>
      </w:r>
      <w:r>
        <w:rPr>
          <w:rFonts w:ascii="Times New Roman" w:hAnsi="Times New Roman" w:cs="Times New Roman"/>
          <w:i/>
          <w:iCs/>
          <w:sz w:val="24"/>
          <w:szCs w:val="24"/>
        </w:rPr>
        <w:t>Singapore Med J</w:t>
      </w:r>
      <w:r>
        <w:rPr>
          <w:rFonts w:ascii="Times New Roman" w:hAnsi="Times New Roman" w:cs="Times New Roman"/>
          <w:sz w:val="24"/>
          <w:szCs w:val="24"/>
        </w:rPr>
        <w:t>. 2019;60(3):110-118. doi:10.11622/smedj.2018081</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r>
      <w:r>
        <w:rPr>
          <w:rFonts w:ascii="Times New Roman" w:hAnsi="Times New Roman" w:cs="Times New Roman"/>
          <w:sz w:val="24"/>
          <w:szCs w:val="24"/>
        </w:rPr>
        <w:t xml:space="preserve">Saxena KN, Goel V, Gaba BTP. Fiber Optic Intubation of a Neonate with Syngnathia Under Local Anesthesia and Sedation. </w:t>
      </w:r>
      <w:r>
        <w:rPr>
          <w:rFonts w:ascii="Times New Roman" w:hAnsi="Times New Roman" w:cs="Times New Roman"/>
          <w:i/>
          <w:iCs/>
          <w:sz w:val="24"/>
          <w:szCs w:val="24"/>
        </w:rPr>
        <w:t>J Anaesthesiol Clin Pharmacol</w:t>
      </w:r>
      <w:r>
        <w:rPr>
          <w:rFonts w:ascii="Times New Roman" w:hAnsi="Times New Roman" w:cs="Times New Roman"/>
          <w:sz w:val="24"/>
          <w:szCs w:val="24"/>
        </w:rPr>
        <w:t>. 2016;32(1):128-130. doi:10.1136/bcr-2013-202974</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r>
      <w:r>
        <w:rPr>
          <w:rFonts w:ascii="Times New Roman" w:hAnsi="Times New Roman" w:cs="Times New Roman"/>
          <w:sz w:val="24"/>
          <w:szCs w:val="24"/>
        </w:rPr>
        <w:t xml:space="preserve">Svee A, Frykholm P, Linder A, Hakelius M, Skoog V, Nowinski D. Early Release of Interalveolar Synechiae Under General Anesthesia Through Fiberscopic. </w:t>
      </w:r>
      <w:r>
        <w:rPr>
          <w:rFonts w:ascii="Times New Roman" w:hAnsi="Times New Roman" w:cs="Times New Roman"/>
          <w:i/>
          <w:iCs/>
          <w:sz w:val="24"/>
          <w:szCs w:val="24"/>
        </w:rPr>
        <w:t>J Craniofac Surg</w:t>
      </w:r>
      <w:r>
        <w:rPr>
          <w:rFonts w:ascii="Times New Roman" w:hAnsi="Times New Roman" w:cs="Times New Roman"/>
          <w:sz w:val="24"/>
          <w:szCs w:val="24"/>
        </w:rPr>
        <w:t>. 2012;23(4):299-302. doi:10.1097/SCS.0b013e318252f314</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r>
      <w:r>
        <w:rPr>
          <w:rFonts w:ascii="Times New Roman" w:hAnsi="Times New Roman" w:cs="Times New Roman"/>
          <w:sz w:val="24"/>
          <w:szCs w:val="24"/>
        </w:rPr>
        <w:t xml:space="preserve">Kim HJ, Asai T. High-flow nasal oxygenation for anesthetic management. </w:t>
      </w:r>
      <w:r>
        <w:rPr>
          <w:rFonts w:ascii="Times New Roman" w:hAnsi="Times New Roman" w:cs="Times New Roman"/>
          <w:i/>
          <w:iCs/>
          <w:sz w:val="24"/>
          <w:szCs w:val="24"/>
        </w:rPr>
        <w:t>Korean J Anesthesiol</w:t>
      </w:r>
      <w:r>
        <w:rPr>
          <w:rFonts w:ascii="Times New Roman" w:hAnsi="Times New Roman" w:cs="Times New Roman"/>
          <w:sz w:val="24"/>
          <w:szCs w:val="24"/>
        </w:rPr>
        <w:t>. 2019;72(6):527-547. doi:10.4097/kja.19174</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r>
      <w:r>
        <w:rPr>
          <w:rFonts w:ascii="Times New Roman" w:hAnsi="Times New Roman" w:cs="Times New Roman"/>
          <w:sz w:val="24"/>
          <w:szCs w:val="24"/>
        </w:rPr>
        <w:t xml:space="preserve">Ji JY, Kim EH, Lee JH, Jang YE, Kim HS, Kwon SK. Pediatric airway surgery under spontaneous respiration using high-flow nasal oxygen. </w:t>
      </w:r>
      <w:r>
        <w:rPr>
          <w:rFonts w:ascii="Times New Roman" w:hAnsi="Times New Roman" w:cs="Times New Roman"/>
          <w:i/>
          <w:iCs/>
          <w:sz w:val="24"/>
          <w:szCs w:val="24"/>
        </w:rPr>
        <w:t>Int J Pediatr Otorhinolaryngol</w:t>
      </w:r>
      <w:r>
        <w:rPr>
          <w:rFonts w:ascii="Times New Roman" w:hAnsi="Times New Roman" w:cs="Times New Roman"/>
          <w:sz w:val="24"/>
          <w:szCs w:val="24"/>
        </w:rPr>
        <w:t>. 2020;134(July):1-8. doi:10.1016/j.ijporl.2020.110042</w:t>
      </w:r>
    </w:p>
    <w:p>
      <w:pPr>
        <w:widowControl w:val="0"/>
        <w:autoSpaceDE w:val="0"/>
        <w:autoSpaceDN w:val="0"/>
        <w:adjustRightInd w:val="0"/>
        <w:spacing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r>
      <w:r>
        <w:rPr>
          <w:rFonts w:ascii="Times New Roman" w:hAnsi="Times New Roman" w:cs="Times New Roman"/>
          <w:sz w:val="24"/>
          <w:szCs w:val="24"/>
        </w:rPr>
        <w:t xml:space="preserve">Ansermino JM, Magruder W, Dosani M. Spontaneous respiration during intravenous anesthesia in children. </w:t>
      </w:r>
      <w:r>
        <w:rPr>
          <w:rFonts w:ascii="Times New Roman" w:hAnsi="Times New Roman" w:cs="Times New Roman"/>
          <w:i/>
          <w:iCs/>
          <w:sz w:val="24"/>
          <w:szCs w:val="24"/>
        </w:rPr>
        <w:t>Curr Opin Anaesthesiol</w:t>
      </w:r>
      <w:r>
        <w:rPr>
          <w:rFonts w:ascii="Times New Roman" w:hAnsi="Times New Roman" w:cs="Times New Roman"/>
          <w:sz w:val="24"/>
          <w:szCs w:val="24"/>
        </w:rPr>
        <w:t>. 2009;22(3):383-387. doi:10.1097/ACO.0b013e328329730c</w:t>
      </w:r>
    </w:p>
    <w:p>
      <w:pPr>
        <w:widowControl w:val="0"/>
        <w:autoSpaceDE w:val="0"/>
        <w:autoSpaceDN w:val="0"/>
        <w:adjustRightInd w:val="0"/>
        <w:spacing w:line="480" w:lineRule="auto"/>
        <w:ind w:left="640" w:hanging="640"/>
        <w:jc w:val="both"/>
        <w:rPr>
          <w:rFonts w:ascii="Times New Roman" w:hAnsi="Times New Roman" w:cs="Times New Roman"/>
          <w:sz w:val="24"/>
        </w:rPr>
      </w:pPr>
      <w:r>
        <w:rPr>
          <w:rFonts w:ascii="Times New Roman" w:hAnsi="Times New Roman" w:cs="Times New Roman"/>
          <w:sz w:val="24"/>
          <w:szCs w:val="24"/>
        </w:rPr>
        <w:t xml:space="preserve">12. </w:t>
      </w:r>
      <w:r>
        <w:rPr>
          <w:rFonts w:ascii="Times New Roman" w:hAnsi="Times New Roman" w:cs="Times New Roman"/>
          <w:sz w:val="24"/>
          <w:szCs w:val="24"/>
        </w:rPr>
        <w:tab/>
      </w:r>
      <w:r>
        <w:rPr>
          <w:rFonts w:ascii="Times New Roman" w:hAnsi="Times New Roman" w:cs="Times New Roman"/>
          <w:sz w:val="24"/>
          <w:szCs w:val="24"/>
        </w:rPr>
        <w:t xml:space="preserve">Malherbe S, Whyte S, Singh P, Amari E, King A, Mark Ansermino J. Total intravenous anesthesia and spontaneous respiration for airway endoscopy in children - A prospective evaluation. </w:t>
      </w:r>
      <w:r>
        <w:rPr>
          <w:rFonts w:ascii="Times New Roman" w:hAnsi="Times New Roman" w:cs="Times New Roman"/>
          <w:i/>
          <w:iCs/>
          <w:sz w:val="24"/>
          <w:szCs w:val="24"/>
        </w:rPr>
        <w:t>Paediatr Anaesth</w:t>
      </w:r>
      <w:r>
        <w:rPr>
          <w:rFonts w:ascii="Times New Roman" w:hAnsi="Times New Roman" w:cs="Times New Roman"/>
          <w:sz w:val="24"/>
          <w:szCs w:val="24"/>
        </w:rPr>
        <w:t>. 2010;20(5):434-438. doi:10.1111/j.1460-9592.2010.03290.x</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pgSz w:w="12240" w:h="15840"/>
      <w:pgMar w:top="2268" w:right="1701" w:bottom="1701" w:left="226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851B24"/>
    <w:multiLevelType w:val="multilevel"/>
    <w:tmpl w:val="4A851B2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wMTY2NDc3MjQ2MTdR0lEKTi0uzszPAykwrAUA+X8pNywAAAA="/>
  </w:docVars>
  <w:rsids>
    <w:rsidRoot w:val="0005116D"/>
    <w:rsid w:val="00023302"/>
    <w:rsid w:val="0005116D"/>
    <w:rsid w:val="000976C1"/>
    <w:rsid w:val="000E1EB5"/>
    <w:rsid w:val="000F4F39"/>
    <w:rsid w:val="001711B7"/>
    <w:rsid w:val="00180D8D"/>
    <w:rsid w:val="00191E01"/>
    <w:rsid w:val="001A418A"/>
    <w:rsid w:val="001B1272"/>
    <w:rsid w:val="002637C7"/>
    <w:rsid w:val="00281C54"/>
    <w:rsid w:val="002C0988"/>
    <w:rsid w:val="00333FB2"/>
    <w:rsid w:val="00343A40"/>
    <w:rsid w:val="00350AFF"/>
    <w:rsid w:val="003832D9"/>
    <w:rsid w:val="003E1989"/>
    <w:rsid w:val="003F738D"/>
    <w:rsid w:val="00403002"/>
    <w:rsid w:val="00407F6E"/>
    <w:rsid w:val="00440293"/>
    <w:rsid w:val="004923AC"/>
    <w:rsid w:val="004D4A8C"/>
    <w:rsid w:val="00522C5F"/>
    <w:rsid w:val="00561560"/>
    <w:rsid w:val="0057790B"/>
    <w:rsid w:val="00591BE3"/>
    <w:rsid w:val="0059456C"/>
    <w:rsid w:val="005A2246"/>
    <w:rsid w:val="005B56F5"/>
    <w:rsid w:val="00613930"/>
    <w:rsid w:val="006155CF"/>
    <w:rsid w:val="006661C8"/>
    <w:rsid w:val="006B391E"/>
    <w:rsid w:val="006C0819"/>
    <w:rsid w:val="006C397A"/>
    <w:rsid w:val="006D1C18"/>
    <w:rsid w:val="007139D2"/>
    <w:rsid w:val="00721778"/>
    <w:rsid w:val="0072184E"/>
    <w:rsid w:val="00751B1B"/>
    <w:rsid w:val="00785B8D"/>
    <w:rsid w:val="007A3663"/>
    <w:rsid w:val="007B30A0"/>
    <w:rsid w:val="007E5231"/>
    <w:rsid w:val="007F0DDE"/>
    <w:rsid w:val="0087262C"/>
    <w:rsid w:val="008A7E0C"/>
    <w:rsid w:val="0092565B"/>
    <w:rsid w:val="00996632"/>
    <w:rsid w:val="009A02F9"/>
    <w:rsid w:val="009C0D08"/>
    <w:rsid w:val="009D5CD7"/>
    <w:rsid w:val="009F3811"/>
    <w:rsid w:val="00A06AAA"/>
    <w:rsid w:val="00A6197F"/>
    <w:rsid w:val="00A71437"/>
    <w:rsid w:val="00A84A55"/>
    <w:rsid w:val="00AA7EF5"/>
    <w:rsid w:val="00AB525B"/>
    <w:rsid w:val="00AB6FF7"/>
    <w:rsid w:val="00B2113B"/>
    <w:rsid w:val="00B26682"/>
    <w:rsid w:val="00B31811"/>
    <w:rsid w:val="00B6443D"/>
    <w:rsid w:val="00B94CA7"/>
    <w:rsid w:val="00BB3084"/>
    <w:rsid w:val="00BD4559"/>
    <w:rsid w:val="00C03282"/>
    <w:rsid w:val="00C25654"/>
    <w:rsid w:val="00C3286F"/>
    <w:rsid w:val="00C56248"/>
    <w:rsid w:val="00C56D98"/>
    <w:rsid w:val="00CB72DE"/>
    <w:rsid w:val="00CF67C3"/>
    <w:rsid w:val="00D028A3"/>
    <w:rsid w:val="00D117A3"/>
    <w:rsid w:val="00D341DA"/>
    <w:rsid w:val="00D71BA6"/>
    <w:rsid w:val="00D844A5"/>
    <w:rsid w:val="00DC6BAA"/>
    <w:rsid w:val="00DF6C69"/>
    <w:rsid w:val="00E06947"/>
    <w:rsid w:val="00E46357"/>
    <w:rsid w:val="00E47982"/>
    <w:rsid w:val="00E564D0"/>
    <w:rsid w:val="00E65440"/>
    <w:rsid w:val="00EE0362"/>
    <w:rsid w:val="00EE4342"/>
    <w:rsid w:val="00EE4E2D"/>
    <w:rsid w:val="00F345D6"/>
    <w:rsid w:val="00F826C1"/>
    <w:rsid w:val="59F12F00"/>
    <w:rsid w:val="74C02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spacing w:after="0" w:line="240" w:lineRule="auto"/>
    </w:pPr>
  </w:style>
  <w:style w:type="paragraph" w:styleId="5">
    <w:name w:val="header"/>
    <w:basedOn w:val="1"/>
    <w:link w:val="7"/>
    <w:unhideWhenUsed/>
    <w:uiPriority w:val="99"/>
    <w:pPr>
      <w:tabs>
        <w:tab w:val="center" w:pos="4513"/>
        <w:tab w:val="right" w:pos="9026"/>
      </w:tabs>
      <w:spacing w:after="0" w:line="240" w:lineRule="auto"/>
    </w:pPr>
  </w:style>
  <w:style w:type="paragraph" w:styleId="6">
    <w:name w:val="List Paragraph"/>
    <w:basedOn w:val="1"/>
    <w:qFormat/>
    <w:uiPriority w:val="34"/>
    <w:pPr>
      <w:ind w:left="720"/>
      <w:contextualSpacing/>
    </w:pPr>
  </w:style>
  <w:style w:type="character" w:customStyle="1" w:styleId="7">
    <w:name w:val="Header Char"/>
    <w:basedOn w:val="2"/>
    <w:link w:val="5"/>
    <w:uiPriority w:val="99"/>
    <w:rPr>
      <w:sz w:val="22"/>
      <w:szCs w:val="22"/>
      <w:lang w:val="en-US" w:eastAsia="en-US"/>
    </w:rPr>
  </w:style>
  <w:style w:type="character" w:customStyle="1" w:styleId="8">
    <w:name w:val="Footer Char"/>
    <w:basedOn w:val="2"/>
    <w:link w:val="4"/>
    <w:uiPriority w:val="99"/>
    <w:rPr>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88553-4E93-48AB-B693-7CBB67267B3A}">
  <ds:schemaRefs/>
</ds:datastoreItem>
</file>

<file path=docProps/app.xml><?xml version="1.0" encoding="utf-8"?>
<Properties xmlns="http://schemas.openxmlformats.org/officeDocument/2006/extended-properties" xmlns:vt="http://schemas.openxmlformats.org/officeDocument/2006/docPropsVTypes">
  <Template>Normal</Template>
  <Pages>11</Pages>
  <Words>6741</Words>
  <Characters>38424</Characters>
  <Lines>320</Lines>
  <Paragraphs>90</Paragraphs>
  <TotalTime>49</TotalTime>
  <ScaleCrop>false</ScaleCrop>
  <LinksUpToDate>false</LinksUpToDate>
  <CharactersWithSpaces>45075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2022-10-27T21:27:00Z</dcterms:created>
  <dc:creator>User</dc:creator>
  <cp:lastModifiedBy>Asus</cp:lastModifiedBy>
  <dcterms:modified xsi:type="dcterms:W3CDTF">2022-11-28T11:34:07Z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d72e4de1-b515-333b-b0f3-d1b47675a65d</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http://www.zotero.org/styles/vancouver-superscript</vt:lpwstr>
  </property>
  <property fmtid="{D5CDD505-2E9C-101B-9397-08002B2CF9AE}" pid="20" name="Mendeley Recent Style Name 7_1">
    <vt:lpwstr>Vancouver (superscript)</vt:lpwstr>
  </property>
  <property fmtid="{D5CDD505-2E9C-101B-9397-08002B2CF9AE}" pid="21" name="Mendeley Recent Style Id 8_1">
    <vt:lpwstr>https://csl.mendeley.com/styles/539835961/vancouver-superscript</vt:lpwstr>
  </property>
  <property fmtid="{D5CDD505-2E9C-101B-9397-08002B2CF9AE}" pid="22" name="Mendeley Recent Style Name 8_1">
    <vt:lpwstr>Vancouver (superscript) - gezira  Hidayat</vt:lpwstr>
  </property>
  <property fmtid="{D5CDD505-2E9C-101B-9397-08002B2CF9AE}" pid="23" name="Mendeley Recent Style Id 9_1">
    <vt:lpwstr>http://www.zotero.org/styles/vancouver-superscript-brackets-only-year</vt:lpwstr>
  </property>
  <property fmtid="{D5CDD505-2E9C-101B-9397-08002B2CF9AE}" pid="24" name="Mendeley Recent Style Name 9_1">
    <vt:lpwstr>Vancouver (superscript, brackets, only year in date)</vt:lpwstr>
  </property>
  <property fmtid="{D5CDD505-2E9C-101B-9397-08002B2CF9AE}" pid="25" name="KSOProductBuildVer">
    <vt:lpwstr>1033-11.2.0.11380</vt:lpwstr>
  </property>
  <property fmtid="{D5CDD505-2E9C-101B-9397-08002B2CF9AE}" pid="26" name="ICV">
    <vt:lpwstr>761068706EAF4568BA946F3CA362A72C</vt:lpwstr>
  </property>
  <property fmtid="{D5CDD505-2E9C-101B-9397-08002B2CF9AE}" pid="27" name="GrammarlyDocumentId">
    <vt:lpwstr>ab37b8c101fbb258bca9e7e6ed51efbd13e6a70dde23292399d00c9bfdf66240</vt:lpwstr>
  </property>
</Properties>
</file>